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sídlom.....................IČO............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..............registri Okresného úradu............č. zápisu.......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sídlom.................IČO.........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zo dňa.................. o poskytnutie úveru vo výške ........................na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 xml:space="preserve">,bola dňa ...............schválená. Banka je preto pripravená poskytnúť označenému klientovi ...............................úver za podmienky doručenia </w:t>
      </w:r>
      <w:r w:rsidR="008369A7">
        <w:rPr>
          <w:rFonts w:ascii="Arial Narrow" w:hAnsi="Arial Narrow"/>
          <w:sz w:val="22"/>
          <w:szCs w:val="22"/>
        </w:rPr>
        <w:t>oznámeniaMAS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 w:rsidSect="002D08F2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60" w:rsidRDefault="00DA2460">
      <w:r>
        <w:separator/>
      </w:r>
    </w:p>
  </w:endnote>
  <w:endnote w:type="continuationSeparator" w:id="0">
    <w:p w:rsidR="00DA2460" w:rsidRDefault="00DA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613" w:rsidRDefault="002D08F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4461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60" w:rsidRDefault="00DA2460">
      <w:r>
        <w:separator/>
      </w:r>
    </w:p>
  </w:footnote>
  <w:footnote w:type="continuationSeparator" w:id="0">
    <w:p w:rsidR="00DA2460" w:rsidRDefault="00DA2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715A75">
      <w:rPr>
        <w:rFonts w:ascii="Arial Narrow" w:hAnsi="Arial Narrow" w:cs="Arial"/>
        <w:i/>
        <w:sz w:val="20"/>
        <w:szCs w:val="20"/>
      </w:rPr>
      <w:t xml:space="preserve">3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</w:p>
  <w:p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B4217"/>
    <w:rsid w:val="002D08F2"/>
    <w:rsid w:val="002D5B5F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15A75"/>
    <w:rsid w:val="007361B4"/>
    <w:rsid w:val="007726E5"/>
    <w:rsid w:val="007731AF"/>
    <w:rsid w:val="008369A7"/>
    <w:rsid w:val="008451F6"/>
    <w:rsid w:val="008E4622"/>
    <w:rsid w:val="008E7963"/>
    <w:rsid w:val="0090317F"/>
    <w:rsid w:val="00925D9D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CE61FF"/>
    <w:rsid w:val="00DA2460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1AAF69-7481-49BC-90D0-57DF72D6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1202DB-08AB-42D0-907F-61CD61B1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Veronika Ličková</dc:creator>
  <cp:keywords/>
  <cp:lastModifiedBy>Konto Microsoft</cp:lastModifiedBy>
  <cp:revision>2</cp:revision>
  <dcterms:created xsi:type="dcterms:W3CDTF">2020-12-08T14:06:00Z</dcterms:created>
  <dcterms:modified xsi:type="dcterms:W3CDTF">2020-12-08T14:06:00Z</dcterms:modified>
</cp:coreProperties>
</file>