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31" w:rsidRPr="00061B31" w:rsidRDefault="00061B31" w:rsidP="00061B31">
      <w:pPr>
        <w:spacing w:after="200" w:line="276" w:lineRule="auto"/>
        <w:rPr>
          <w:rFonts w:ascii="Calibri" w:eastAsia="Calibri" w:hAnsi="Calibri" w:cs="Calibri"/>
          <w:b/>
          <w:color w:val="244061"/>
        </w:rPr>
      </w:pPr>
      <w:r w:rsidRPr="00061B31">
        <w:rPr>
          <w:rFonts w:ascii="Calibri" w:eastAsia="Calibri" w:hAnsi="Calibri" w:cs="Calibri"/>
          <w:b/>
          <w:color w:val="244061"/>
        </w:rPr>
        <w:t>ČLENOVIA MAS</w:t>
      </w:r>
    </w:p>
    <w:p w:rsidR="00061B31" w:rsidRPr="00061B31" w:rsidRDefault="00061B31" w:rsidP="00061B31">
      <w:p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061B31">
        <w:rPr>
          <w:rFonts w:ascii="Calibri" w:eastAsia="Calibri" w:hAnsi="Calibri" w:cs="Calibri"/>
        </w:rPr>
        <w:t xml:space="preserve">Naši členovia MAS Zemplín pod Vihorlatom, </w:t>
      </w:r>
      <w:proofErr w:type="spellStart"/>
      <w:r w:rsidRPr="00061B31">
        <w:rPr>
          <w:rFonts w:ascii="Calibri" w:eastAsia="Calibri" w:hAnsi="Calibri" w:cs="Calibri"/>
        </w:rPr>
        <w:t>o.z</w:t>
      </w:r>
      <w:proofErr w:type="spellEnd"/>
      <w:r w:rsidRPr="00061B31">
        <w:rPr>
          <w:rFonts w:ascii="Calibri" w:eastAsia="Calibri" w:hAnsi="Calibri" w:cs="Calibri"/>
        </w:rPr>
        <w:t>. sú zaradení do jednej z nasledovných záujmových skupín:</w:t>
      </w:r>
    </w:p>
    <w:p w:rsidR="00061B31" w:rsidRPr="00061B31" w:rsidRDefault="00061B31" w:rsidP="00061B3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61B31">
        <w:rPr>
          <w:rFonts w:ascii="Calibri" w:eastAsia="Calibri" w:hAnsi="Calibri" w:cs="Calibri"/>
        </w:rPr>
        <w:t xml:space="preserve">záujmová skupina verejného sektora </w:t>
      </w:r>
    </w:p>
    <w:p w:rsidR="00061B31" w:rsidRPr="00061B31" w:rsidRDefault="00061B31" w:rsidP="00061B3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61B31">
        <w:rPr>
          <w:rFonts w:ascii="Calibri" w:eastAsia="Calibri" w:hAnsi="Calibri" w:cs="Calibri"/>
        </w:rPr>
        <w:t xml:space="preserve">záujmová skupina podnikateľského sektora </w:t>
      </w:r>
    </w:p>
    <w:p w:rsidR="00061B31" w:rsidRPr="00061B31" w:rsidRDefault="00061B31" w:rsidP="00061B3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61B31">
        <w:rPr>
          <w:rFonts w:ascii="Calibri" w:eastAsia="Calibri" w:hAnsi="Calibri" w:cs="Calibri"/>
        </w:rPr>
        <w:t xml:space="preserve">záujmové skupina občianskeho sektora </w:t>
      </w:r>
    </w:p>
    <w:p w:rsidR="00061B31" w:rsidRPr="00061B31" w:rsidRDefault="00061B31" w:rsidP="00061B31">
      <w:pPr>
        <w:spacing w:before="120" w:after="120" w:line="240" w:lineRule="auto"/>
        <w:ind w:left="1077"/>
        <w:jc w:val="both"/>
        <w:rPr>
          <w:rFonts w:ascii="Calibri" w:eastAsia="Calibri" w:hAnsi="Calibri" w:cs="Calibri"/>
          <w:b/>
        </w:rPr>
      </w:pP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color w:val="244061"/>
          <w:lang w:eastAsia="sk-SK"/>
        </w:rPr>
      </w:pPr>
      <w:r w:rsidRPr="00061B31">
        <w:rPr>
          <w:rFonts w:ascii="Calibri" w:eastAsia="Calibri" w:hAnsi="Calibri" w:cs="Calibri"/>
          <w:b/>
          <w:color w:val="244061"/>
        </w:rPr>
        <w:t>Verejný sektor:</w:t>
      </w:r>
      <w:r w:rsidRPr="00061B31">
        <w:rPr>
          <w:rFonts w:ascii="Calibri" w:eastAsia="Times New Roman" w:hAnsi="Calibri" w:cs="Calibri"/>
          <w:color w:val="244061"/>
          <w:lang w:eastAsia="sk-SK"/>
        </w:rPr>
        <w:t xml:space="preserve"> 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61B31">
        <w:rPr>
          <w:rFonts w:ascii="Calibri" w:eastAsia="Times New Roman" w:hAnsi="Calibri" w:cs="Calibri"/>
          <w:b/>
          <w:lang w:eastAsia="sk-SK"/>
        </w:rPr>
        <w:t>Mesto</w:t>
      </w:r>
      <w:r w:rsidRPr="00061B31">
        <w:rPr>
          <w:rFonts w:ascii="Calibri" w:eastAsia="Times New Roman" w:hAnsi="Calibri" w:cs="Calibri"/>
          <w:lang w:eastAsia="sk-SK"/>
        </w:rPr>
        <w:t xml:space="preserve"> Sobrance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061B31">
        <w:rPr>
          <w:rFonts w:ascii="Calibri" w:eastAsia="Times New Roman" w:hAnsi="Calibri" w:cs="Calibri"/>
          <w:b/>
          <w:lang w:eastAsia="sk-SK"/>
        </w:rPr>
        <w:t xml:space="preserve">Obce </w:t>
      </w:r>
      <w:r w:rsidRPr="00061B31">
        <w:rPr>
          <w:rFonts w:ascii="Calibri" w:eastAsia="Times New Roman" w:hAnsi="Calibri" w:cs="Calibri"/>
          <w:lang w:eastAsia="sk-SK"/>
        </w:rPr>
        <w:t>(</w:t>
      </w:r>
      <w:r w:rsidRPr="00061B31">
        <w:rPr>
          <w:rFonts w:ascii="Calibri" w:eastAsia="Times New Roman" w:hAnsi="Calibri" w:cs="Calibri"/>
          <w:i/>
          <w:lang w:eastAsia="sk-SK"/>
        </w:rPr>
        <w:t>okres Sobrance</w:t>
      </w:r>
      <w:r w:rsidRPr="00061B31">
        <w:rPr>
          <w:rFonts w:ascii="Calibri" w:eastAsia="Times New Roman" w:hAnsi="Calibri" w:cs="Calibri"/>
          <w:lang w:eastAsia="sk-SK"/>
        </w:rPr>
        <w:t>)</w:t>
      </w:r>
      <w:r w:rsidRPr="00061B31">
        <w:rPr>
          <w:rFonts w:ascii="Calibri" w:eastAsia="Times New Roman" w:hAnsi="Calibri" w:cs="Calibri"/>
          <w:b/>
          <w:lang w:eastAsia="sk-SK"/>
        </w:rPr>
        <w:t xml:space="preserve"> </w:t>
      </w:r>
      <w:r w:rsidRPr="00061B31">
        <w:rPr>
          <w:rFonts w:ascii="Calibri" w:eastAsia="Times New Roman" w:hAnsi="Calibri" w:cs="Calibri"/>
          <w:lang w:eastAsia="sk-SK"/>
        </w:rPr>
        <w:t xml:space="preserve">Baškovce, Beňatina, Bežovce, Blatná Polianka, Blatné Remety, Blatné Revištia, Bunkovce, Fekišovce, Hlivištia, Horňa, Husák, Choňkovce,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Inovce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, Jasenov, Jenkovce, Kolibabovce, Koňuš, Koromľa, Krčava, Kristy, Lekárovce, Nižná Rybnica, Nižné Nemecké, Orechová, Ostrov, Petrovce, Pinkovce, Podhoroď, Porostov, Porúbka, Priekopa, Remetské Hámre, Ruská Bystrá, Ruskovce, Ruský Hrabovec, Sejkov, Svätuš,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Tešuľa</w:t>
      </w:r>
      <w:proofErr w:type="spellEnd"/>
      <w:r w:rsidRPr="00061B31">
        <w:rPr>
          <w:rFonts w:ascii="Calibri" w:eastAsia="Times New Roman" w:hAnsi="Calibri" w:cs="Calibri"/>
          <w:lang w:eastAsia="sk-SK"/>
        </w:rPr>
        <w:t>, Tibava, Úbrež, Veľké Revištia, Vojnatina, Vyšná Rybnica, Vyšné Nemecké, Vyšné Remety, Záhor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061B31">
        <w:rPr>
          <w:rFonts w:ascii="Calibri" w:eastAsia="Times New Roman" w:hAnsi="Calibri" w:cs="Calibri"/>
          <w:b/>
          <w:lang w:eastAsia="sk-SK"/>
        </w:rPr>
        <w:t xml:space="preserve">Obce </w:t>
      </w:r>
      <w:r w:rsidRPr="00061B31">
        <w:rPr>
          <w:rFonts w:ascii="Calibri" w:eastAsia="Times New Roman" w:hAnsi="Calibri" w:cs="Calibri"/>
          <w:lang w:eastAsia="sk-SK"/>
        </w:rPr>
        <w:t>(</w:t>
      </w:r>
      <w:r w:rsidRPr="00061B31">
        <w:rPr>
          <w:rFonts w:ascii="Calibri" w:eastAsia="Times New Roman" w:hAnsi="Calibri" w:cs="Calibri"/>
          <w:i/>
          <w:lang w:eastAsia="sk-SK"/>
        </w:rPr>
        <w:t>okres Michalovce</w:t>
      </w:r>
      <w:r w:rsidRPr="00061B31">
        <w:rPr>
          <w:rFonts w:ascii="Calibri" w:eastAsia="Times New Roman" w:hAnsi="Calibri" w:cs="Calibri"/>
          <w:lang w:eastAsia="sk-SK"/>
        </w:rPr>
        <w:t>)</w:t>
      </w:r>
      <w:r w:rsidRPr="00061B31">
        <w:rPr>
          <w:rFonts w:ascii="Calibri" w:eastAsia="Times New Roman" w:hAnsi="Calibri" w:cs="Calibri"/>
          <w:b/>
          <w:lang w:eastAsia="sk-SK"/>
        </w:rPr>
        <w:t xml:space="preserve"> </w:t>
      </w:r>
      <w:r w:rsidRPr="00061B31">
        <w:rPr>
          <w:rFonts w:ascii="Calibri" w:eastAsia="Times New Roman" w:hAnsi="Calibri" w:cs="Calibri"/>
          <w:lang w:eastAsia="sk-SK"/>
        </w:rPr>
        <w:t>Jovsa, Kusín a Poruba pod Vihorlatom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061B31">
        <w:rPr>
          <w:rFonts w:ascii="Calibri" w:eastAsia="Times New Roman" w:hAnsi="Calibri" w:cs="Calibri"/>
          <w:lang w:eastAsia="sk-SK"/>
        </w:rPr>
        <w:t xml:space="preserve">Technické služby mesta Sobrance 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061B31">
        <w:rPr>
          <w:rFonts w:ascii="Calibri" w:eastAsia="Calibri" w:hAnsi="Calibri" w:cs="Calibri"/>
          <w:shd w:val="clear" w:color="auto" w:fill="FFFFFF"/>
        </w:rPr>
        <w:t>Materská škola Gagarinova 916, Sobrance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Calibri" w:hAnsi="Calibri" w:cs="Calibri"/>
          <w:b/>
          <w:color w:val="244061"/>
        </w:rPr>
      </w:pP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61B31">
        <w:rPr>
          <w:rFonts w:ascii="Calibri" w:eastAsia="Calibri" w:hAnsi="Calibri" w:cs="Calibri"/>
          <w:b/>
          <w:color w:val="244061"/>
        </w:rPr>
        <w:t>Podnikateľský sektor:</w:t>
      </w:r>
      <w:r w:rsidRPr="00061B31">
        <w:rPr>
          <w:rFonts w:ascii="Calibri" w:eastAsia="Calibri" w:hAnsi="Calibri" w:cs="Calibri"/>
          <w:b/>
        </w:rPr>
        <w:t xml:space="preserve"> 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61B31">
        <w:rPr>
          <w:rFonts w:ascii="Calibri" w:eastAsia="Times New Roman" w:hAnsi="Calibri" w:cs="Calibri"/>
          <w:lang w:eastAsia="sk-SK"/>
        </w:rPr>
        <w:t xml:space="preserve">Ján Pavlík SHR; Mário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Uhrin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Michal Kontra SHR; Jana Bačová SHR; Ján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Sidor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 SHR; Miroslav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Šabak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Širo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Marta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Gejgušová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Ivan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Kapláč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Plynroz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a.s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 Sobrance; Blažej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Jacko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Juraj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Macik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Roľnícke družstvo Koromľa; Ing. Marián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Mochťák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VALTMAR,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K2-Elektro,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Alena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Falisová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Anna Sabová; Anna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Šabaková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Ján Čižmár; Poľovnícke združenie AGRONOVA Blatné Revištia;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InSi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Miroslav Lipa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Linvest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DOZAS - dopravno-zdravotná služba,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 Sobrance; Erik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Ted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 MAJOROŠ; Group JM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Poľnohospodárske družstvo Pinkovce; Poľnohospodárske družstvo Poruba pod Vihorlatom; SCORP TRADE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Unimex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 spol.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>. Bežovce;</w:t>
      </w:r>
      <w:r w:rsidRPr="00061B31">
        <w:rPr>
          <w:rFonts w:ascii="Calibri" w:eastAsia="Calibri" w:hAnsi="Calibri" w:cs="Calibri"/>
          <w:shd w:val="clear" w:color="auto" w:fill="FFFFFF"/>
        </w:rPr>
        <w:t xml:space="preserve"> Mestský bytový podnik Sobrance, </w:t>
      </w:r>
      <w:proofErr w:type="spellStart"/>
      <w:r w:rsidRPr="00061B31">
        <w:rPr>
          <w:rFonts w:ascii="Calibri" w:eastAsia="Calibri" w:hAnsi="Calibri" w:cs="Calibri"/>
          <w:shd w:val="clear" w:color="auto" w:fill="FFFFFF"/>
        </w:rPr>
        <w:t>s.r.o</w:t>
      </w:r>
      <w:proofErr w:type="spellEnd"/>
      <w:r w:rsidRPr="00061B31">
        <w:rPr>
          <w:rFonts w:ascii="Calibri" w:eastAsia="Calibri" w:hAnsi="Calibri" w:cs="Calibri"/>
          <w:shd w:val="clear" w:color="auto" w:fill="FFFFFF"/>
        </w:rPr>
        <w:t xml:space="preserve">. ; </w:t>
      </w:r>
      <w:r w:rsidRPr="00061B31">
        <w:rPr>
          <w:rFonts w:ascii="Calibri" w:eastAsia="Times New Roman" w:hAnsi="Calibri" w:cs="Calibri"/>
          <w:lang w:eastAsia="sk-SK"/>
        </w:rPr>
        <w:t xml:space="preserve">JP-TOP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AGRO Porúbka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EUROFORMA,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Eurofarma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I.P.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Construct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PŠP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REVITAL PLUS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Fúra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s.r.o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 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61B31">
        <w:rPr>
          <w:rFonts w:ascii="Calibri" w:eastAsia="Calibri" w:hAnsi="Calibri" w:cs="Calibri"/>
          <w:b/>
          <w:color w:val="244061"/>
        </w:rPr>
        <w:t>Občiansky sektor:</w:t>
      </w:r>
      <w:r w:rsidRPr="00061B31">
        <w:rPr>
          <w:rFonts w:ascii="Calibri" w:eastAsia="Times New Roman" w:hAnsi="Calibri" w:cs="Calibri"/>
          <w:lang w:eastAsia="sk-SK"/>
        </w:rPr>
        <w:t xml:space="preserve"> 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61B31">
        <w:rPr>
          <w:rFonts w:ascii="Calibri" w:eastAsia="Times New Roman" w:hAnsi="Calibri" w:cs="Calibri"/>
          <w:lang w:eastAsia="sk-SK"/>
        </w:rPr>
        <w:t xml:space="preserve">TJ Vyšné Remety; Urbárska spoločnosť Vyšné Remety, pozemkové spoločenstvo; Regionálna nemocnica Sobrance,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n.o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Volejbalový klub Slávia Sobrance; Gitarové múzeum,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o.z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Rímskokatolícka cirkev, farnosť Jenkovce, filiálka Husák; Martin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Žeňuch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Poľovnícka spoločnosť Viničky v Koromli; Gréckokatolícka cirkev, farnosť Koromľa;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ReSocia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n.o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.; </w:t>
      </w:r>
      <w:r w:rsidRPr="00061B31">
        <w:rPr>
          <w:rFonts w:ascii="Calibri" w:eastAsia="Calibri" w:hAnsi="Calibri" w:cs="Calibri"/>
          <w:shd w:val="clear" w:color="auto" w:fill="FFFFFF"/>
        </w:rPr>
        <w:t xml:space="preserve">TJ Družstevník Ruský Hrabovec; </w:t>
      </w:r>
      <w:r w:rsidRPr="00061B31">
        <w:rPr>
          <w:rFonts w:ascii="Calibri" w:eastAsia="Times New Roman" w:hAnsi="Calibri" w:cs="Calibri"/>
          <w:lang w:eastAsia="sk-SK"/>
        </w:rPr>
        <w:t xml:space="preserve">MVDr. Boleslav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Lešo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Miroslav </w:t>
      </w:r>
      <w:proofErr w:type="spellStart"/>
      <w:r w:rsidRPr="00061B31">
        <w:rPr>
          <w:rFonts w:ascii="Calibri" w:eastAsia="Times New Roman" w:hAnsi="Calibri" w:cs="Calibri"/>
          <w:lang w:eastAsia="sk-SK"/>
        </w:rPr>
        <w:t>Basanda</w:t>
      </w:r>
      <w:proofErr w:type="spellEnd"/>
      <w:r w:rsidRPr="00061B31">
        <w:rPr>
          <w:rFonts w:ascii="Calibri" w:eastAsia="Times New Roman" w:hAnsi="Calibri" w:cs="Calibri"/>
          <w:lang w:eastAsia="sk-SK"/>
        </w:rPr>
        <w:t xml:space="preserve">; Rímskokatolícka Cirkev, farnosť Úbrež; Urbárska spoločnosť obce PORUBA pod Vihorlatom, pozemkové spoločenstvo; Futbalový klub Tibava; Mestský futbalový klub Sobrance; Klub Dôchodcov a združenie občanov obce Ostrov; Tenisový klub Sobrance; </w:t>
      </w:r>
      <w:r w:rsidRPr="00061B31">
        <w:rPr>
          <w:rFonts w:ascii="Calibri" w:eastAsia="Calibri" w:hAnsi="Calibri" w:cs="Calibri"/>
          <w:shd w:val="clear" w:color="auto" w:fill="FFFFFF"/>
        </w:rPr>
        <w:t xml:space="preserve">Občianske združenie NOVÁ ŠKOLA; Slovenská rada rodičovských združení; František </w:t>
      </w:r>
      <w:proofErr w:type="spellStart"/>
      <w:r w:rsidRPr="00061B31">
        <w:rPr>
          <w:rFonts w:ascii="Calibri" w:eastAsia="Calibri" w:hAnsi="Calibri" w:cs="Calibri"/>
          <w:shd w:val="clear" w:color="auto" w:fill="FFFFFF"/>
        </w:rPr>
        <w:t>Marcin</w:t>
      </w:r>
      <w:proofErr w:type="spellEnd"/>
      <w:r w:rsidRPr="00061B31">
        <w:rPr>
          <w:rFonts w:ascii="Calibri" w:eastAsia="Calibri" w:hAnsi="Calibri" w:cs="Calibri"/>
          <w:shd w:val="clear" w:color="auto" w:fill="FFFFFF"/>
        </w:rPr>
        <w:t xml:space="preserve"> – AGROMAF; </w:t>
      </w:r>
      <w:r w:rsidRPr="00061B31">
        <w:rPr>
          <w:rFonts w:ascii="Calibri" w:eastAsia="Times New Roman" w:hAnsi="Calibri" w:cs="Calibri"/>
          <w:lang w:eastAsia="sk-SK"/>
        </w:rPr>
        <w:t xml:space="preserve">Združenie pre rozvoj turizmu v mikroregióne Koromľa a okolie; Mestský hokejbalový klub Sobrance. </w:t>
      </w:r>
    </w:p>
    <w:p w:rsidR="00061B31" w:rsidRPr="00061B31" w:rsidRDefault="00061B31" w:rsidP="00061B31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B31" w:rsidRPr="00061B31" w:rsidRDefault="00061B31" w:rsidP="00061B31">
      <w:pPr>
        <w:spacing w:after="200" w:line="276" w:lineRule="auto"/>
        <w:rPr>
          <w:rFonts w:ascii="Calibri" w:eastAsia="Calibri" w:hAnsi="Calibri" w:cs="Times New Roman"/>
        </w:rPr>
      </w:pPr>
    </w:p>
    <w:p w:rsidR="00FC5604" w:rsidRDefault="00FC5604">
      <w:bookmarkStart w:id="0" w:name="_GoBack"/>
      <w:bookmarkEnd w:id="0"/>
    </w:p>
    <w:sectPr w:rsidR="00FC5604" w:rsidSect="0082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46C3"/>
    <w:multiLevelType w:val="hybridMultilevel"/>
    <w:tmpl w:val="2A288E22"/>
    <w:lvl w:ilvl="0" w:tplc="2FA2A356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1"/>
    <w:rsid w:val="00061B31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4FF1-7021-480E-816E-1B71EC3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Kattarina Korrpas</dc:creator>
  <cp:keywords/>
  <dc:description/>
  <cp:lastModifiedBy>Kattarina Korrpas</cp:lastModifiedBy>
  <cp:revision>1</cp:revision>
  <dcterms:created xsi:type="dcterms:W3CDTF">2019-05-06T12:13:00Z</dcterms:created>
  <dcterms:modified xsi:type="dcterms:W3CDTF">2019-05-06T12:14:00Z</dcterms:modified>
</cp:coreProperties>
</file>